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37F5D">
      <w:pPr>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val="0"/>
          <w:bCs w:val="0"/>
          <w:sz w:val="44"/>
          <w:szCs w:val="44"/>
        </w:rPr>
      </w:pPr>
      <w:r>
        <w:rPr>
          <w:rFonts w:hint="eastAsia" w:ascii="黑体" w:hAnsi="黑体" w:eastAsia="黑体" w:cs="黑体"/>
          <w:b w:val="0"/>
          <w:bCs w:val="0"/>
          <w:sz w:val="44"/>
          <w:szCs w:val="44"/>
        </w:rPr>
        <w:t>“美豫名品”</w:t>
      </w:r>
      <w:r>
        <w:rPr>
          <w:rFonts w:hint="eastAsia" w:ascii="黑体" w:hAnsi="黑体" w:eastAsia="黑体" w:cs="黑体"/>
          <w:b w:val="0"/>
          <w:bCs w:val="0"/>
          <w:sz w:val="44"/>
          <w:szCs w:val="44"/>
          <w:lang w:val="en-US" w:eastAsia="zh-CN"/>
        </w:rPr>
        <w:t>认证规范 文创类（工艺美术）</w:t>
      </w:r>
    </w:p>
    <w:p w14:paraId="52519B35">
      <w:pPr>
        <w:pageBreakBefore w:val="0"/>
        <w:widowControl w:val="0"/>
        <w:kinsoku/>
        <w:wordWrap/>
        <w:overflowPunct/>
        <w:topLinePunct w:val="0"/>
        <w:autoSpaceDE/>
        <w:autoSpaceDN/>
        <w:bidi w:val="0"/>
        <w:adjustRightInd/>
        <w:snapToGrid/>
        <w:ind w:firstLine="3520" w:firstLineChars="800"/>
        <w:jc w:val="both"/>
        <w:textAlignment w:val="auto"/>
        <w:rPr>
          <w:rFonts w:hint="eastAsia" w:ascii="黑体" w:hAnsi="黑体" w:eastAsia="黑体" w:cs="黑体"/>
          <w:b w:val="0"/>
          <w:bCs w:val="0"/>
          <w:sz w:val="44"/>
          <w:szCs w:val="44"/>
        </w:rPr>
      </w:pPr>
      <w:r>
        <w:rPr>
          <w:rFonts w:hint="eastAsia" w:ascii="黑体" w:hAnsi="黑体" w:eastAsia="黑体" w:cs="黑体"/>
          <w:b w:val="0"/>
          <w:bCs w:val="0"/>
          <w:sz w:val="44"/>
          <w:szCs w:val="44"/>
        </w:rPr>
        <w:t>编制说明</w:t>
      </w:r>
      <w:bookmarkStart w:id="0" w:name="_Toc173598538"/>
    </w:p>
    <w:p w14:paraId="6170039C">
      <w:pPr>
        <w:pageBreakBefore w:val="0"/>
        <w:widowControl w:val="0"/>
        <w:kinsoku/>
        <w:wordWrap/>
        <w:overflowPunct/>
        <w:topLinePunct w:val="0"/>
        <w:autoSpaceDE/>
        <w:autoSpaceDN/>
        <w:bidi w:val="0"/>
        <w:adjustRightInd/>
        <w:snapToGrid/>
        <w:jc w:val="both"/>
        <w:textAlignment w:val="auto"/>
        <w:rPr>
          <w:rFonts w:hint="eastAsia" w:ascii="黑体" w:hAnsi="黑体" w:eastAsia="黑体"/>
          <w:b w:val="0"/>
          <w:bCs w:val="0"/>
          <w:sz w:val="32"/>
          <w:szCs w:val="32"/>
        </w:rPr>
      </w:pPr>
    </w:p>
    <w:p w14:paraId="396280BA">
      <w:pPr>
        <w:pageBreakBefore w:val="0"/>
        <w:widowControl w:val="0"/>
        <w:kinsoku/>
        <w:wordWrap/>
        <w:overflowPunct/>
        <w:topLinePunct w:val="0"/>
        <w:autoSpaceDE/>
        <w:autoSpaceDN/>
        <w:bidi w:val="0"/>
        <w:adjustRightInd/>
        <w:snapToGrid/>
        <w:jc w:val="both"/>
        <w:textAlignment w:val="auto"/>
        <w:rPr>
          <w:rFonts w:hint="eastAsia" w:ascii="黑体" w:hAnsi="黑体" w:eastAsia="黑体"/>
          <w:b w:val="0"/>
          <w:bCs w:val="0"/>
          <w:sz w:val="32"/>
          <w:szCs w:val="32"/>
        </w:rPr>
      </w:pPr>
      <w:r>
        <w:rPr>
          <w:rFonts w:hint="eastAsia" w:ascii="黑体" w:hAnsi="黑体" w:eastAsia="黑体"/>
          <w:b w:val="0"/>
          <w:bCs w:val="0"/>
          <w:sz w:val="32"/>
          <w:szCs w:val="32"/>
        </w:rPr>
        <w:t>一、编制的目的和意义</w:t>
      </w:r>
      <w:bookmarkEnd w:id="0"/>
    </w:p>
    <w:p w14:paraId="12F12EC6">
      <w:pPr>
        <w:pageBreakBefore w:val="0"/>
        <w:widowControl w:val="0"/>
        <w:numPr>
          <w:ilvl w:val="0"/>
          <w:numId w:val="0"/>
        </w:numPr>
        <w:kinsoku/>
        <w:wordWrap/>
        <w:overflowPunct/>
        <w:topLinePunct w:val="0"/>
        <w:autoSpaceDE/>
        <w:autoSpaceDN/>
        <w:bidi w:val="0"/>
        <w:adjustRightInd/>
        <w:snapToGrid/>
        <w:ind w:firstLine="320" w:firstLineChars="100"/>
        <w:jc w:val="left"/>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（一）</w:t>
      </w:r>
      <w:r>
        <w:rPr>
          <w:rFonts w:hint="eastAsia" w:ascii="楷体" w:hAnsi="楷体" w:eastAsia="楷体" w:cs="楷体"/>
          <w:b w:val="0"/>
          <w:bCs w:val="0"/>
          <w:sz w:val="32"/>
          <w:szCs w:val="32"/>
        </w:rPr>
        <w:t>编制的目的</w:t>
      </w:r>
    </w:p>
    <w:p w14:paraId="453F8066">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 xml:space="preserve">为深入贯彻落实党中央、国务院关于质量强国建设、知识产权强国建设的战略部署，加快推进河南省品牌建设工作，全面提升品牌发展总体水平，推动经济社会高质量发展，以满足人民群众日益增长的美好生活需要。这一目的的确定，与国家相关政策文件如《质量强国建设纲要》《关于强化知识产权保护的意见》等的要求相一致，同时也是河南省落实国家战略的具体举措。 </w:t>
      </w:r>
    </w:p>
    <w:p w14:paraId="63ECF215">
      <w:pPr>
        <w:pageBreakBefore w:val="0"/>
        <w:widowControl w:val="0"/>
        <w:numPr>
          <w:ilvl w:val="0"/>
          <w:numId w:val="0"/>
        </w:numPr>
        <w:kinsoku/>
        <w:wordWrap/>
        <w:overflowPunct/>
        <w:topLinePunct w:val="0"/>
        <w:autoSpaceDE/>
        <w:autoSpaceDN/>
        <w:bidi w:val="0"/>
        <w:adjustRightInd/>
        <w:snapToGrid/>
        <w:ind w:left="-420" w:leftChars="0" w:firstLine="640" w:firstLineChars="200"/>
        <w:jc w:val="left"/>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kern w:val="2"/>
          <w:sz w:val="32"/>
          <w:szCs w:val="32"/>
          <w:lang w:val="en-US" w:eastAsia="zh-CN" w:bidi="ar-SA"/>
        </w:rPr>
        <w:t>（二）</w:t>
      </w:r>
      <w:r>
        <w:rPr>
          <w:rFonts w:hint="eastAsia" w:ascii="楷体" w:hAnsi="楷体" w:eastAsia="楷体" w:cs="楷体"/>
          <w:b w:val="0"/>
          <w:bCs w:val="0"/>
          <w:sz w:val="32"/>
          <w:szCs w:val="32"/>
          <w:lang w:val="en-US" w:eastAsia="zh-CN"/>
        </w:rPr>
        <w:t>编制的意义</w:t>
      </w:r>
    </w:p>
    <w:p w14:paraId="1020DC85">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lang w:val="en-US" w:eastAsia="zh-CN"/>
        </w:rPr>
      </w:pPr>
      <w:r>
        <w:rPr>
          <w:rFonts w:hint="eastAsia" w:ascii="仿宋_GB2312" w:eastAsia="仿宋_GB2312"/>
          <w:b w:val="0"/>
          <w:bCs w:val="0"/>
          <w:sz w:val="32"/>
          <w:szCs w:val="32"/>
        </w:rPr>
        <w:t>制定本标准具有显著的意义。</w:t>
      </w:r>
      <w:r>
        <w:rPr>
          <w:rFonts w:hint="eastAsia" w:ascii="仿宋_GB2312" w:eastAsia="仿宋_GB2312"/>
          <w:b w:val="0"/>
          <w:bCs w:val="0"/>
          <w:sz w:val="32"/>
          <w:szCs w:val="32"/>
          <w:lang w:val="en-US" w:eastAsia="zh-CN"/>
        </w:rPr>
        <w:t>一是贯彻落实二十大精神的具体行动。以习近平新时代中国特色社会主义思想为指导，全面贯彻党的二十大精神，深入贯彻习近平总书记视察河南重要讲话重要指示和关于品牌建设的重要指示精神，立足新发展阶段，完整准确全面贯彻新发展理念，通过持续培育、整体提升，推动河南制造向河南创造转变、河南速度向河南质量转变、河南产品向河南品牌转变，不断提升河南品牌的美誉度和核心竞争力，加快质量强省、品牌强省、标准河南建设，为现代化河南建设提供品牌支撑。这与河南省出台的《豫政[2023]3号 河南省人民政府关于实施品牌发展战略推进“美豫名品”公共品牌建设的实施意见》等政策文件的精神高度契合。二是推动标准河南建设。河南省支持龙头企业优势领域积极参与标准制修订，形成了一批高质量的河南标准，并上升为国际标准、国家标准、行业标准，不断增强产业话语权和主导权，跑出标准河南建设加速度。本标准的制定有助于规范“美豫名品”公共品牌认证活动，提升品牌建设的标准化水平，为标准河南建设提供有力支撑。</w:t>
      </w:r>
      <w:bookmarkStart w:id="1" w:name="_Toc173598539"/>
    </w:p>
    <w:p w14:paraId="1ED318D3">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lang w:val="en-US" w:eastAsia="zh-CN"/>
        </w:rPr>
      </w:pPr>
    </w:p>
    <w:p w14:paraId="31C5F606">
      <w:pPr>
        <w:pageBreakBefore w:val="0"/>
        <w:widowControl w:val="0"/>
        <w:kinsoku/>
        <w:wordWrap/>
        <w:overflowPunct/>
        <w:topLinePunct w:val="0"/>
        <w:autoSpaceDE/>
        <w:autoSpaceDN/>
        <w:bidi w:val="0"/>
        <w:adjustRightInd/>
        <w:snapToGrid/>
        <w:jc w:val="left"/>
        <w:textAlignment w:val="auto"/>
        <w:rPr>
          <w:rFonts w:hint="eastAsia" w:ascii="黑体" w:hAnsi="黑体" w:eastAsia="黑体"/>
          <w:b w:val="0"/>
          <w:bCs w:val="0"/>
          <w:sz w:val="32"/>
          <w:szCs w:val="32"/>
        </w:rPr>
      </w:pPr>
      <w:r>
        <w:rPr>
          <w:rFonts w:hint="eastAsia" w:ascii="黑体" w:hAnsi="黑体" w:eastAsia="黑体"/>
          <w:b w:val="0"/>
          <w:bCs w:val="0"/>
          <w:sz w:val="32"/>
          <w:szCs w:val="32"/>
        </w:rPr>
        <w:t>二、编制原则和依据</w:t>
      </w:r>
      <w:bookmarkEnd w:id="1"/>
    </w:p>
    <w:p w14:paraId="3B3F5EF0">
      <w:pPr>
        <w:pageBreakBefore w:val="0"/>
        <w:widowControl w:val="0"/>
        <w:numPr>
          <w:ilvl w:val="0"/>
          <w:numId w:val="0"/>
        </w:numPr>
        <w:kinsoku/>
        <w:wordWrap/>
        <w:overflowPunct/>
        <w:topLinePunct w:val="0"/>
        <w:autoSpaceDE/>
        <w:autoSpaceDN/>
        <w:bidi w:val="0"/>
        <w:adjustRightInd/>
        <w:snapToGrid/>
        <w:jc w:val="left"/>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（一）</w:t>
      </w:r>
      <w:r>
        <w:rPr>
          <w:rFonts w:hint="eastAsia" w:ascii="楷体" w:hAnsi="楷体" w:eastAsia="楷体" w:cs="楷体"/>
          <w:b w:val="0"/>
          <w:bCs w:val="0"/>
          <w:sz w:val="32"/>
          <w:szCs w:val="32"/>
        </w:rPr>
        <w:t>编制原则</w:t>
      </w:r>
    </w:p>
    <w:p w14:paraId="092A002C">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标准编制注重标准的通用性和可操作性，遵循适用性、规范性的原则。</w:t>
      </w:r>
    </w:p>
    <w:p w14:paraId="2B554970">
      <w:pPr>
        <w:pageBreakBefore w:val="0"/>
        <w:widowControl w:val="0"/>
        <w:kinsoku/>
        <w:wordWrap/>
        <w:overflowPunct/>
        <w:topLinePunct w:val="0"/>
        <w:autoSpaceDE/>
        <w:autoSpaceDN/>
        <w:bidi w:val="0"/>
        <w:adjustRightInd/>
        <w:snapToGrid/>
        <w:ind w:left="319" w:leftChars="152" w:firstLine="320" w:firstLineChars="1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适用性：本标准提出的评价内容具有通用性，可指导“美豫名品”</w:t>
      </w:r>
      <w:r>
        <w:rPr>
          <w:rFonts w:hint="eastAsia" w:ascii="仿宋_GB2312" w:eastAsia="仿宋_GB2312"/>
          <w:b w:val="0"/>
          <w:bCs w:val="0"/>
          <w:sz w:val="32"/>
          <w:szCs w:val="32"/>
          <w:lang w:val="en-US" w:eastAsia="zh-CN"/>
        </w:rPr>
        <w:t>文创类（工艺美术）</w:t>
      </w:r>
      <w:r>
        <w:rPr>
          <w:rFonts w:hint="eastAsia" w:ascii="仿宋_GB2312" w:eastAsia="仿宋_GB2312"/>
          <w:b w:val="0"/>
          <w:bCs w:val="0"/>
          <w:sz w:val="32"/>
          <w:szCs w:val="32"/>
        </w:rPr>
        <w:t>认证活动。</w:t>
      </w:r>
    </w:p>
    <w:p w14:paraId="01EF2309">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规范性：本标准规范了各项指标减少主观判断和依据缺失的风险。</w:t>
      </w:r>
    </w:p>
    <w:p w14:paraId="4E1FBF79">
      <w:pPr>
        <w:pageBreakBefore w:val="0"/>
        <w:widowControl w:val="0"/>
        <w:numPr>
          <w:ilvl w:val="0"/>
          <w:numId w:val="0"/>
        </w:numPr>
        <w:kinsoku/>
        <w:wordWrap/>
        <w:overflowPunct/>
        <w:topLinePunct w:val="0"/>
        <w:autoSpaceDE/>
        <w:autoSpaceDN/>
        <w:bidi w:val="0"/>
        <w:adjustRightInd/>
        <w:snapToGrid/>
        <w:jc w:val="left"/>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（二）</w:t>
      </w:r>
      <w:r>
        <w:rPr>
          <w:rFonts w:hint="eastAsia" w:ascii="楷体" w:hAnsi="楷体" w:eastAsia="楷体" w:cs="楷体"/>
          <w:b w:val="0"/>
          <w:bCs w:val="0"/>
          <w:sz w:val="32"/>
          <w:szCs w:val="32"/>
        </w:rPr>
        <w:t>编制依据</w:t>
      </w:r>
    </w:p>
    <w:p w14:paraId="1EB09F18">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本标准的编制依据《中华人民共和国标准法》的规定，按照GB/T 1.1-2020《标准化工作导则  第1部分:标准化文件的结构和起草规则》的要求进行编制。</w:t>
      </w:r>
      <w:bookmarkStart w:id="2" w:name="_Toc173598540"/>
    </w:p>
    <w:p w14:paraId="591CC413">
      <w:pPr>
        <w:pageBreakBefore w:val="0"/>
        <w:widowControl w:val="0"/>
        <w:kinsoku/>
        <w:wordWrap/>
        <w:overflowPunct/>
        <w:topLinePunct w:val="0"/>
        <w:autoSpaceDE/>
        <w:autoSpaceDN/>
        <w:bidi w:val="0"/>
        <w:adjustRightInd/>
        <w:snapToGrid/>
        <w:jc w:val="left"/>
        <w:textAlignment w:val="auto"/>
        <w:rPr>
          <w:rFonts w:hint="eastAsia" w:ascii="黑体" w:hAnsi="黑体" w:eastAsia="黑体"/>
          <w:b w:val="0"/>
          <w:bCs w:val="0"/>
          <w:sz w:val="32"/>
          <w:szCs w:val="32"/>
        </w:rPr>
      </w:pPr>
      <w:r>
        <w:rPr>
          <w:rFonts w:hint="eastAsia" w:ascii="黑体" w:hAnsi="黑体" w:eastAsia="黑体"/>
          <w:b w:val="0"/>
          <w:bCs w:val="0"/>
          <w:sz w:val="32"/>
          <w:szCs w:val="32"/>
        </w:rPr>
        <w:t>三、编制过程</w:t>
      </w:r>
      <w:bookmarkEnd w:id="2"/>
    </w:p>
    <w:p w14:paraId="3405FF09">
      <w:pPr>
        <w:pageBreakBefore w:val="0"/>
        <w:widowControl w:val="0"/>
        <w:numPr>
          <w:ilvl w:val="0"/>
          <w:numId w:val="0"/>
        </w:numPr>
        <w:kinsoku/>
        <w:wordWrap/>
        <w:overflowPunct/>
        <w:topLinePunct w:val="0"/>
        <w:autoSpaceDE/>
        <w:autoSpaceDN/>
        <w:bidi w:val="0"/>
        <w:adjustRightInd/>
        <w:snapToGrid/>
        <w:jc w:val="left"/>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（一）</w:t>
      </w:r>
      <w:r>
        <w:rPr>
          <w:rFonts w:hint="eastAsia" w:ascii="楷体" w:hAnsi="楷体" w:eastAsia="楷体" w:cs="楷体"/>
          <w:b w:val="0"/>
          <w:bCs w:val="0"/>
          <w:sz w:val="32"/>
          <w:szCs w:val="32"/>
        </w:rPr>
        <w:t>标准编制单位</w:t>
      </w:r>
    </w:p>
    <w:p w14:paraId="17D9BD6D">
      <w:pPr>
        <w:pageBreakBefore w:val="0"/>
        <w:widowControl w:val="0"/>
        <w:numPr>
          <w:ilvl w:val="0"/>
          <w:numId w:val="0"/>
        </w:numPr>
        <w:kinsoku/>
        <w:wordWrap/>
        <w:overflowPunct/>
        <w:topLinePunct w:val="0"/>
        <w:autoSpaceDE/>
        <w:autoSpaceDN/>
        <w:bidi w:val="0"/>
        <w:adjustRightInd/>
        <w:snapToGrid/>
        <w:jc w:val="left"/>
        <w:textAlignment w:val="auto"/>
        <w:rPr>
          <w:rFonts w:hint="default" w:ascii="仿宋_GB2312" w:eastAsia="仿宋_GB2312"/>
          <w:b w:val="0"/>
          <w:bCs w:val="0"/>
          <w:sz w:val="32"/>
          <w:szCs w:val="32"/>
          <w:lang w:val="en-US" w:eastAsia="zh-CN"/>
        </w:rPr>
      </w:pPr>
      <w:r>
        <w:rPr>
          <w:rFonts w:hint="eastAsia" w:ascii="楷体" w:hAnsi="楷体" w:eastAsia="楷体" w:cs="楷体"/>
          <w:b w:val="0"/>
          <w:bCs w:val="0"/>
          <w:sz w:val="32"/>
          <w:szCs w:val="32"/>
          <w:lang w:val="en-US" w:eastAsia="zh-CN"/>
        </w:rPr>
        <w:t xml:space="preserve">    </w:t>
      </w:r>
      <w:r>
        <w:rPr>
          <w:rFonts w:hint="eastAsia" w:ascii="仿宋_GB2312" w:eastAsia="仿宋_GB2312"/>
          <w:b w:val="0"/>
          <w:bCs w:val="0"/>
          <w:sz w:val="32"/>
          <w:szCs w:val="32"/>
          <w:lang w:val="en-US" w:eastAsia="zh-CN"/>
        </w:rPr>
        <w:t>河南省标准化和质量研究院</w:t>
      </w:r>
    </w:p>
    <w:p w14:paraId="6515B969">
      <w:pPr>
        <w:pageBreakBefore w:val="0"/>
        <w:widowControl w:val="0"/>
        <w:numPr>
          <w:ilvl w:val="0"/>
          <w:numId w:val="0"/>
        </w:numPr>
        <w:kinsoku/>
        <w:wordWrap/>
        <w:overflowPunct/>
        <w:topLinePunct w:val="0"/>
        <w:autoSpaceDE/>
        <w:autoSpaceDN/>
        <w:bidi w:val="0"/>
        <w:adjustRightInd/>
        <w:snapToGrid/>
        <w:jc w:val="left"/>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（二）</w:t>
      </w:r>
      <w:r>
        <w:rPr>
          <w:rFonts w:hint="eastAsia" w:ascii="楷体" w:hAnsi="楷体" w:eastAsia="楷体" w:cs="楷体"/>
          <w:b w:val="0"/>
          <w:bCs w:val="0"/>
          <w:sz w:val="32"/>
          <w:szCs w:val="32"/>
        </w:rPr>
        <w:t>标准主要编写过程</w:t>
      </w:r>
    </w:p>
    <w:p w14:paraId="0D76D361">
      <w:pPr>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default" w:ascii="仿宋_GB2312" w:eastAsia="仿宋_GB2312" w:hAnsiTheme="minorHAnsi" w:cstheme="minorBidi"/>
          <w:b w:val="0"/>
          <w:bCs w:val="0"/>
          <w:kern w:val="2"/>
          <w:sz w:val="32"/>
          <w:szCs w:val="32"/>
          <w:lang w:val="en-US" w:eastAsia="zh-CN" w:bidi="ar-SA"/>
        </w:rPr>
        <w:t>1.</w:t>
      </w:r>
      <w:r>
        <w:rPr>
          <w:rFonts w:hint="eastAsia" w:ascii="仿宋_GB2312" w:eastAsia="仿宋_GB2312"/>
          <w:b w:val="0"/>
          <w:bCs w:val="0"/>
          <w:sz w:val="32"/>
          <w:szCs w:val="32"/>
          <w:lang w:val="en-US" w:eastAsia="zh-CN"/>
        </w:rPr>
        <w:t xml:space="preserve"> </w:t>
      </w:r>
      <w:r>
        <w:rPr>
          <w:rFonts w:hint="eastAsia" w:ascii="仿宋_GB2312" w:eastAsia="仿宋_GB2312"/>
          <w:b w:val="0"/>
          <w:bCs w:val="0"/>
          <w:sz w:val="32"/>
          <w:szCs w:val="32"/>
        </w:rPr>
        <w:t>研究立项阶段</w:t>
      </w:r>
    </w:p>
    <w:p w14:paraId="38C84C7D">
      <w:pPr>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default" w:ascii="仿宋_GB2312" w:eastAsia="仿宋_GB2312" w:hAnsiTheme="minorHAnsi" w:cstheme="minorBidi"/>
          <w:b w:val="0"/>
          <w:bCs w:val="0"/>
          <w:kern w:val="2"/>
          <w:sz w:val="32"/>
          <w:szCs w:val="32"/>
          <w:lang w:val="en-US" w:eastAsia="zh-CN" w:bidi="ar-SA"/>
        </w:rPr>
        <w:t>2.</w:t>
      </w:r>
      <w:r>
        <w:rPr>
          <w:rFonts w:hint="eastAsia" w:ascii="仿宋_GB2312" w:eastAsia="仿宋_GB2312"/>
          <w:b w:val="0"/>
          <w:bCs w:val="0"/>
          <w:sz w:val="32"/>
          <w:szCs w:val="32"/>
        </w:rPr>
        <w:t>编制起草阶段</w:t>
      </w:r>
    </w:p>
    <w:p w14:paraId="385C021B">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 xml:space="preserve">2024 年 7 月 16 日，河南省标准化与质量研究院组建编写组，正式开启标准的编写工作。                                        2024 年 7 月 21 日，编写组基于资料收集、调研以及研讨的成果，完成了标准初稿的编制。                                         2024 年 7 月 26 日，编写组召开编写工作会议，广泛征集意见，深入交流探讨，对标准初稿的结构和内容进行了全新的调整。                                   </w:t>
      </w:r>
    </w:p>
    <w:p w14:paraId="772B293B">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 xml:space="preserve"> 2024 年 7 月 31 日，编写组再次召开工作会议，依据与会专家的意见和建议，将标准的名称变更为《“美豫名品”</w:t>
      </w:r>
      <w:r>
        <w:rPr>
          <w:rFonts w:hint="eastAsia" w:ascii="仿宋_GB2312" w:eastAsia="仿宋_GB2312"/>
          <w:b w:val="0"/>
          <w:bCs w:val="0"/>
          <w:sz w:val="32"/>
          <w:szCs w:val="32"/>
          <w:lang w:val="en-US" w:eastAsia="zh-CN"/>
        </w:rPr>
        <w:t>认证规范 文创类（工艺美术）</w:t>
      </w:r>
      <w:r>
        <w:rPr>
          <w:rFonts w:hint="eastAsia" w:ascii="仿宋_GB2312" w:eastAsia="仿宋_GB2312"/>
          <w:b w:val="0"/>
          <w:bCs w:val="0"/>
          <w:sz w:val="32"/>
          <w:szCs w:val="32"/>
        </w:rPr>
        <w:t>》，并对章结构做出相应调整，同时对条款内容和格式进行了细化。</w:t>
      </w:r>
    </w:p>
    <w:p w14:paraId="4DD9A3C2">
      <w:pPr>
        <w:pStyle w:val="2"/>
        <w:pageBreakBefore w:val="0"/>
        <w:widowControl w:val="0"/>
        <w:numPr>
          <w:ilvl w:val="0"/>
          <w:numId w:val="0"/>
        </w:numPr>
        <w:kinsoku/>
        <w:wordWrap/>
        <w:overflowPunct/>
        <w:topLinePunct w:val="0"/>
        <w:autoSpaceDE/>
        <w:autoSpaceDN/>
        <w:bidi w:val="0"/>
        <w:adjustRightInd/>
        <w:snapToGrid/>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rPr>
        <w:t>主要内容的确定</w:t>
      </w:r>
    </w:p>
    <w:p w14:paraId="316C35E6">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根据本标准规范的对象、使用者及制定标准的目的确定了本标准的主要内容及构成。</w:t>
      </w:r>
    </w:p>
    <w:p w14:paraId="1F5C8C07">
      <w:pPr>
        <w:pageBreakBefore w:val="0"/>
        <w:widowControl w:val="0"/>
        <w:numPr>
          <w:ilvl w:val="0"/>
          <w:numId w:val="0"/>
        </w:numPr>
        <w:kinsoku/>
        <w:wordWrap/>
        <w:overflowPunct/>
        <w:topLinePunct w:val="0"/>
        <w:autoSpaceDE/>
        <w:autoSpaceDN/>
        <w:bidi w:val="0"/>
        <w:adjustRightInd/>
        <w:snapToGrid/>
        <w:jc w:val="left"/>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（一）</w:t>
      </w:r>
      <w:r>
        <w:rPr>
          <w:rFonts w:hint="eastAsia" w:ascii="楷体" w:hAnsi="楷体" w:eastAsia="楷体" w:cs="楷体"/>
          <w:b w:val="0"/>
          <w:bCs w:val="0"/>
          <w:sz w:val="32"/>
          <w:szCs w:val="32"/>
        </w:rPr>
        <w:t>确定主要内容的依据</w:t>
      </w:r>
    </w:p>
    <w:p w14:paraId="3C74A95B">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本文件参考《"美豫名品"公共品牌认证</w:t>
      </w:r>
      <w:r>
        <w:rPr>
          <w:rFonts w:hint="eastAsia" w:ascii="仿宋_GB2312" w:eastAsia="仿宋_GB2312"/>
          <w:b w:val="0"/>
          <w:bCs w:val="0"/>
          <w:sz w:val="32"/>
          <w:szCs w:val="32"/>
          <w:lang w:val="en-US" w:eastAsia="zh-CN"/>
        </w:rPr>
        <w:t>通则</w:t>
      </w:r>
      <w:r>
        <w:rPr>
          <w:rFonts w:hint="eastAsia" w:ascii="仿宋_GB2312" w:eastAsia="仿宋_GB2312"/>
          <w:b w:val="0"/>
          <w:bCs w:val="0"/>
          <w:sz w:val="32"/>
          <w:szCs w:val="32"/>
        </w:rPr>
        <w:t>》。</w:t>
      </w:r>
    </w:p>
    <w:p w14:paraId="6291E677">
      <w:pPr>
        <w:pageBreakBefore w:val="0"/>
        <w:widowControl w:val="0"/>
        <w:numPr>
          <w:ilvl w:val="0"/>
          <w:numId w:val="0"/>
        </w:numPr>
        <w:kinsoku/>
        <w:wordWrap/>
        <w:overflowPunct/>
        <w:topLinePunct w:val="0"/>
        <w:autoSpaceDE/>
        <w:autoSpaceDN/>
        <w:bidi w:val="0"/>
        <w:adjustRightInd/>
        <w:snapToGrid/>
        <w:jc w:val="left"/>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（二）</w:t>
      </w:r>
      <w:r>
        <w:rPr>
          <w:rFonts w:hint="eastAsia" w:ascii="楷体" w:hAnsi="楷体" w:eastAsia="楷体" w:cs="楷体"/>
          <w:b w:val="0"/>
          <w:bCs w:val="0"/>
          <w:sz w:val="32"/>
          <w:szCs w:val="32"/>
        </w:rPr>
        <w:t>范围</w:t>
      </w:r>
    </w:p>
    <w:p w14:paraId="57970CAB">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rPr>
        <w:t>本文件规定了</w:t>
      </w:r>
      <w:r>
        <w:rPr>
          <w:rFonts w:hint="eastAsia" w:ascii="仿宋_GB2312" w:eastAsia="仿宋_GB2312"/>
          <w:b w:val="0"/>
          <w:bCs w:val="0"/>
          <w:sz w:val="32"/>
          <w:szCs w:val="32"/>
          <w:lang w:eastAsia="zh-CN"/>
        </w:rPr>
        <w:t>“</w:t>
      </w:r>
      <w:r>
        <w:rPr>
          <w:rFonts w:hint="eastAsia" w:ascii="仿宋_GB2312" w:eastAsia="仿宋_GB2312"/>
          <w:b w:val="0"/>
          <w:bCs w:val="0"/>
          <w:sz w:val="32"/>
          <w:szCs w:val="32"/>
          <w:lang w:val="en-US" w:eastAsia="zh-CN"/>
        </w:rPr>
        <w:t>美豫名品</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文创</w:t>
      </w:r>
      <w:r>
        <w:rPr>
          <w:rFonts w:hint="eastAsia" w:ascii="仿宋_GB2312" w:eastAsia="仿宋_GB2312"/>
          <w:b w:val="0"/>
          <w:bCs w:val="0"/>
          <w:sz w:val="32"/>
          <w:szCs w:val="32"/>
          <w:lang w:val="en-US" w:eastAsia="zh-CN"/>
        </w:rPr>
        <w:t>类（工艺美术）</w:t>
      </w:r>
      <w:r>
        <w:rPr>
          <w:rFonts w:hint="eastAsia" w:ascii="仿宋_GB2312" w:eastAsia="仿宋_GB2312"/>
          <w:b w:val="0"/>
          <w:bCs w:val="0"/>
          <w:sz w:val="32"/>
          <w:szCs w:val="32"/>
        </w:rPr>
        <w:t>的</w:t>
      </w:r>
      <w:r>
        <w:rPr>
          <w:rFonts w:hint="eastAsia" w:ascii="仿宋_GB2312" w:eastAsia="仿宋_GB2312"/>
          <w:b w:val="0"/>
          <w:bCs w:val="0"/>
          <w:sz w:val="32"/>
          <w:szCs w:val="32"/>
          <w:lang w:val="en-US" w:eastAsia="zh-CN"/>
        </w:rPr>
        <w:t>认证</w:t>
      </w:r>
      <w:r>
        <w:rPr>
          <w:rFonts w:hint="eastAsia" w:ascii="仿宋_GB2312" w:eastAsia="仿宋_GB2312"/>
          <w:b w:val="0"/>
          <w:bCs w:val="0"/>
          <w:sz w:val="32"/>
          <w:szCs w:val="32"/>
        </w:rPr>
        <w:t>项目</w:t>
      </w:r>
      <w:r>
        <w:rPr>
          <w:rFonts w:hint="eastAsia" w:ascii="仿宋_GB2312" w:eastAsia="仿宋_GB2312"/>
          <w:b w:val="0"/>
          <w:bCs w:val="0"/>
          <w:sz w:val="32"/>
          <w:szCs w:val="32"/>
          <w:lang w:val="en-US" w:eastAsia="zh-CN"/>
        </w:rPr>
        <w:t>和认证</w:t>
      </w:r>
      <w:r>
        <w:rPr>
          <w:rFonts w:hint="eastAsia" w:ascii="仿宋_GB2312" w:eastAsia="仿宋_GB2312"/>
          <w:b w:val="0"/>
          <w:bCs w:val="0"/>
          <w:sz w:val="32"/>
          <w:szCs w:val="32"/>
        </w:rPr>
        <w:t>要求</w:t>
      </w:r>
      <w:r>
        <w:rPr>
          <w:rFonts w:hint="eastAsia" w:ascii="仿宋_GB2312" w:eastAsia="仿宋_GB2312"/>
          <w:b w:val="0"/>
          <w:bCs w:val="0"/>
          <w:sz w:val="32"/>
          <w:szCs w:val="32"/>
          <w:lang w:eastAsia="zh-CN"/>
        </w:rPr>
        <w:t>。</w:t>
      </w:r>
    </w:p>
    <w:p w14:paraId="6B3CEA26">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本文件适用于</w:t>
      </w:r>
      <w:r>
        <w:rPr>
          <w:rFonts w:hint="eastAsia" w:ascii="仿宋_GB2312" w:eastAsia="仿宋_GB2312"/>
          <w:b w:val="0"/>
          <w:bCs w:val="0"/>
          <w:sz w:val="32"/>
          <w:szCs w:val="32"/>
          <w:lang w:eastAsia="zh-CN"/>
        </w:rPr>
        <w:t>“</w:t>
      </w:r>
      <w:r>
        <w:rPr>
          <w:rFonts w:hint="eastAsia" w:ascii="仿宋_GB2312" w:eastAsia="仿宋_GB2312"/>
          <w:b w:val="0"/>
          <w:bCs w:val="0"/>
          <w:sz w:val="32"/>
          <w:szCs w:val="32"/>
          <w:lang w:val="en-US" w:eastAsia="zh-CN"/>
        </w:rPr>
        <w:t>美豫名品</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文创</w:t>
      </w:r>
      <w:r>
        <w:rPr>
          <w:rFonts w:hint="eastAsia" w:ascii="仿宋_GB2312" w:eastAsia="仿宋_GB2312"/>
          <w:b w:val="0"/>
          <w:bCs w:val="0"/>
          <w:sz w:val="32"/>
          <w:szCs w:val="32"/>
          <w:lang w:val="en-US" w:eastAsia="zh-CN"/>
        </w:rPr>
        <w:t>类（工艺美术）</w:t>
      </w:r>
      <w:r>
        <w:rPr>
          <w:rFonts w:hint="eastAsia" w:ascii="仿宋_GB2312" w:eastAsia="仿宋_GB2312"/>
          <w:b w:val="0"/>
          <w:bCs w:val="0"/>
          <w:sz w:val="32"/>
          <w:szCs w:val="32"/>
        </w:rPr>
        <w:t>的</w:t>
      </w:r>
      <w:r>
        <w:rPr>
          <w:rFonts w:hint="eastAsia" w:ascii="仿宋_GB2312" w:eastAsia="仿宋_GB2312"/>
          <w:b w:val="0"/>
          <w:bCs w:val="0"/>
          <w:sz w:val="32"/>
          <w:szCs w:val="32"/>
          <w:lang w:val="en-US" w:eastAsia="zh-CN"/>
        </w:rPr>
        <w:t>认证活动</w:t>
      </w:r>
      <w:r>
        <w:rPr>
          <w:rFonts w:hint="eastAsia" w:ascii="仿宋_GB2312" w:eastAsia="仿宋_GB2312"/>
          <w:b w:val="0"/>
          <w:bCs w:val="0"/>
          <w:sz w:val="32"/>
          <w:szCs w:val="32"/>
        </w:rPr>
        <w:t>。</w:t>
      </w:r>
    </w:p>
    <w:p w14:paraId="7D437175">
      <w:pPr>
        <w:pageBreakBefore w:val="0"/>
        <w:widowControl w:val="0"/>
        <w:numPr>
          <w:ilvl w:val="0"/>
          <w:numId w:val="0"/>
        </w:numPr>
        <w:kinsoku/>
        <w:wordWrap/>
        <w:overflowPunct/>
        <w:topLinePunct w:val="0"/>
        <w:autoSpaceDE/>
        <w:autoSpaceDN/>
        <w:bidi w:val="0"/>
        <w:adjustRightInd/>
        <w:snapToGrid/>
        <w:jc w:val="left"/>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（三）</w:t>
      </w:r>
      <w:r>
        <w:rPr>
          <w:rFonts w:hint="eastAsia" w:ascii="楷体" w:hAnsi="楷体" w:eastAsia="楷体" w:cs="楷体"/>
          <w:b w:val="0"/>
          <w:bCs w:val="0"/>
          <w:sz w:val="32"/>
          <w:szCs w:val="32"/>
        </w:rPr>
        <w:t>规范性引用文件</w:t>
      </w:r>
    </w:p>
    <w:p w14:paraId="1F6496FB">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本标准引用了以下标准：</w:t>
      </w:r>
    </w:p>
    <w:p w14:paraId="580D840C">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bookmarkStart w:id="5" w:name="_GoBack"/>
      <w:bookmarkEnd w:id="5"/>
      <w:r>
        <w:rPr>
          <w:rFonts w:hint="eastAsia" w:ascii="仿宋_GB2312" w:eastAsia="仿宋_GB2312"/>
          <w:b w:val="0"/>
          <w:bCs w:val="0"/>
          <w:sz w:val="32"/>
          <w:szCs w:val="32"/>
        </w:rPr>
        <w:t>GB/T 19001　质量管理体系要求</w:t>
      </w:r>
    </w:p>
    <w:p w14:paraId="795CE65D">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GB/T 23331　能源管理体系 要求及使用指南</w:t>
      </w:r>
    </w:p>
    <w:p w14:paraId="67A4FCF1">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GB/T 24001　环境管理体系 要求及使用指南</w:t>
      </w:r>
    </w:p>
    <w:p w14:paraId="448A2BB4">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 xml:space="preserve">GB/T 33000 </w:t>
      </w:r>
      <w:r>
        <w:rPr>
          <w:rFonts w:hint="eastAsia" w:ascii="仿宋_GB2312" w:eastAsia="仿宋_GB2312"/>
          <w:b w:val="0"/>
          <w:bCs w:val="0"/>
          <w:sz w:val="32"/>
          <w:szCs w:val="32"/>
          <w:lang w:val="en-US" w:eastAsia="zh-CN"/>
        </w:rPr>
        <w:t xml:space="preserve"> </w:t>
      </w:r>
      <w:r>
        <w:rPr>
          <w:rFonts w:hint="eastAsia" w:ascii="仿宋_GB2312" w:eastAsia="仿宋_GB2312"/>
          <w:b w:val="0"/>
          <w:bCs w:val="0"/>
          <w:sz w:val="32"/>
          <w:szCs w:val="32"/>
        </w:rPr>
        <w:t>企业安全生产标准化基本规范</w:t>
      </w:r>
    </w:p>
    <w:p w14:paraId="527B348E">
      <w:pPr>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eastAsia="仿宋_GB2312"/>
          <w:b w:val="0"/>
          <w:bCs w:val="0"/>
          <w:sz w:val="32"/>
          <w:szCs w:val="32"/>
          <w:lang w:val="en-US"/>
        </w:rPr>
      </w:pPr>
      <w:r>
        <w:rPr>
          <w:rFonts w:hint="eastAsia" w:ascii="仿宋_GB2312" w:eastAsia="仿宋_GB2312"/>
          <w:b w:val="0"/>
          <w:bCs w:val="0"/>
          <w:sz w:val="32"/>
          <w:szCs w:val="32"/>
          <w:lang w:val="en-US" w:eastAsia="zh-CN"/>
        </w:rPr>
        <w:t xml:space="preserve">GB/T 35076  </w:t>
      </w:r>
      <w:r>
        <w:rPr>
          <w:rFonts w:hint="eastAsia" w:ascii="仿宋_GB2312" w:eastAsia="仿宋_GB2312"/>
          <w:b w:val="0"/>
          <w:bCs w:val="0"/>
          <w:sz w:val="32"/>
          <w:szCs w:val="32"/>
        </w:rPr>
        <w:t>机械安全 生产设备安全通则</w:t>
      </w:r>
    </w:p>
    <w:p w14:paraId="31576029">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GB/T 36000　社会责任指南</w:t>
      </w:r>
    </w:p>
    <w:p w14:paraId="3E14E26E">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GB/T 39604　社会责任感管理体系要求使用指南</w:t>
      </w:r>
    </w:p>
    <w:p w14:paraId="55B94A04">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GB/T 43836　企业科技创新系统能力水平评价规范</w:t>
      </w:r>
    </w:p>
    <w:p w14:paraId="73E180B6">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GB/T 45001　职业健康安全管理体系 要求及使用指南</w:t>
      </w:r>
    </w:p>
    <w:p w14:paraId="671B9762">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lang w:val="en-US" w:eastAsia="zh-CN"/>
        </w:rPr>
        <w:t xml:space="preserve">DB41/T XXXX-XXXX  </w:t>
      </w:r>
      <w:r>
        <w:rPr>
          <w:rFonts w:hint="eastAsia" w:ascii="仿宋_GB2312" w:eastAsia="仿宋_GB2312"/>
          <w:b w:val="0"/>
          <w:bCs w:val="0"/>
          <w:sz w:val="32"/>
          <w:szCs w:val="32"/>
        </w:rPr>
        <w:t>"美豫名品"公共品牌认证</w:t>
      </w:r>
      <w:r>
        <w:rPr>
          <w:rFonts w:hint="eastAsia" w:ascii="仿宋_GB2312" w:eastAsia="仿宋_GB2312"/>
          <w:b w:val="0"/>
          <w:bCs w:val="0"/>
          <w:sz w:val="32"/>
          <w:szCs w:val="32"/>
          <w:lang w:val="en-US" w:eastAsia="zh-CN"/>
        </w:rPr>
        <w:t>通则</w:t>
      </w:r>
    </w:p>
    <w:p w14:paraId="2C4B19F4">
      <w:pPr>
        <w:pageBreakBefore w:val="0"/>
        <w:widowControl w:val="0"/>
        <w:numPr>
          <w:ilvl w:val="0"/>
          <w:numId w:val="0"/>
        </w:numPr>
        <w:kinsoku/>
        <w:wordWrap/>
        <w:overflowPunct/>
        <w:topLinePunct w:val="0"/>
        <w:autoSpaceDE/>
        <w:autoSpaceDN/>
        <w:bidi w:val="0"/>
        <w:adjustRightInd/>
        <w:snapToGrid/>
        <w:jc w:val="left"/>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（四）</w:t>
      </w:r>
      <w:r>
        <w:rPr>
          <w:rFonts w:hint="eastAsia" w:ascii="楷体" w:hAnsi="楷体" w:eastAsia="楷体" w:cs="楷体"/>
          <w:b w:val="0"/>
          <w:bCs w:val="0"/>
          <w:sz w:val="32"/>
          <w:szCs w:val="32"/>
        </w:rPr>
        <w:t>术语和定义</w:t>
      </w:r>
    </w:p>
    <w:p w14:paraId="2945DA1D">
      <w:pPr>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lang w:val="en-US" w:eastAsia="zh-CN"/>
        </w:rPr>
        <w:t>根据标准内容的必要性，</w:t>
      </w:r>
      <w:r>
        <w:rPr>
          <w:rFonts w:hint="eastAsia" w:ascii="仿宋_GB2312" w:eastAsia="仿宋_GB2312"/>
          <w:b w:val="0"/>
          <w:bCs w:val="0"/>
          <w:sz w:val="32"/>
          <w:szCs w:val="32"/>
        </w:rPr>
        <w:t>对</w:t>
      </w:r>
      <w:r>
        <w:rPr>
          <w:rFonts w:hint="eastAsia" w:ascii="仿宋_GB2312" w:eastAsia="仿宋_GB2312"/>
          <w:b w:val="0"/>
          <w:bCs w:val="0"/>
          <w:sz w:val="32"/>
          <w:szCs w:val="32"/>
          <w:lang w:val="en-US" w:eastAsia="zh-CN"/>
        </w:rPr>
        <w:t>文创产品</w:t>
      </w:r>
      <w:r>
        <w:rPr>
          <w:rFonts w:hint="eastAsia" w:ascii="仿宋_GB2312" w:eastAsia="仿宋_GB2312"/>
          <w:b w:val="0"/>
          <w:bCs w:val="0"/>
          <w:sz w:val="32"/>
          <w:szCs w:val="32"/>
        </w:rPr>
        <w:t>进行了定义。</w:t>
      </w:r>
    </w:p>
    <w:p w14:paraId="59C1615F">
      <w:pPr>
        <w:pageBreakBefore w:val="0"/>
        <w:widowControl w:val="0"/>
        <w:numPr>
          <w:ilvl w:val="0"/>
          <w:numId w:val="0"/>
        </w:numPr>
        <w:kinsoku/>
        <w:wordWrap/>
        <w:overflowPunct/>
        <w:topLinePunct w:val="0"/>
        <w:autoSpaceDE/>
        <w:autoSpaceDN/>
        <w:bidi w:val="0"/>
        <w:adjustRightInd/>
        <w:snapToGrid/>
        <w:jc w:val="left"/>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（五）</w:t>
      </w:r>
      <w:r>
        <w:rPr>
          <w:rFonts w:hint="eastAsia" w:ascii="楷体" w:hAnsi="楷体" w:eastAsia="楷体" w:cs="楷体"/>
          <w:b w:val="0"/>
          <w:bCs w:val="0"/>
          <w:sz w:val="32"/>
          <w:szCs w:val="32"/>
        </w:rPr>
        <w:t>评价内容</w:t>
      </w:r>
    </w:p>
    <w:p w14:paraId="6AC15C6A">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根据《"美豫名品"公共品牌认证</w:t>
      </w:r>
      <w:r>
        <w:rPr>
          <w:rFonts w:hint="eastAsia" w:ascii="仿宋_GB2312" w:eastAsia="仿宋_GB2312"/>
          <w:b w:val="0"/>
          <w:bCs w:val="0"/>
          <w:sz w:val="32"/>
          <w:szCs w:val="32"/>
          <w:lang w:val="en-US" w:eastAsia="zh-CN"/>
        </w:rPr>
        <w:t>通则</w:t>
      </w:r>
      <w:r>
        <w:rPr>
          <w:rFonts w:hint="eastAsia" w:ascii="仿宋_GB2312" w:eastAsia="仿宋_GB2312"/>
          <w:b w:val="0"/>
          <w:bCs w:val="0"/>
          <w:sz w:val="32"/>
          <w:szCs w:val="32"/>
        </w:rPr>
        <w:t>》中</w:t>
      </w:r>
      <w:r>
        <w:rPr>
          <w:rFonts w:hint="eastAsia" w:ascii="仿宋_GB2312" w:eastAsia="仿宋_GB2312"/>
          <w:b w:val="0"/>
          <w:bCs w:val="0"/>
          <w:sz w:val="32"/>
          <w:szCs w:val="32"/>
          <w:lang w:val="en-US" w:eastAsia="zh-CN"/>
        </w:rPr>
        <w:t>的要求，</w:t>
      </w:r>
      <w:r>
        <w:rPr>
          <w:rFonts w:hint="eastAsia" w:ascii="仿宋_GB2312" w:eastAsia="仿宋_GB2312"/>
          <w:b w:val="0"/>
          <w:bCs w:val="0"/>
          <w:sz w:val="32"/>
          <w:szCs w:val="32"/>
        </w:rPr>
        <w:t>认证</w:t>
      </w:r>
      <w:r>
        <w:rPr>
          <w:rFonts w:hint="eastAsia" w:ascii="仿宋_GB2312" w:eastAsia="仿宋_GB2312"/>
          <w:b w:val="0"/>
          <w:bCs w:val="0"/>
          <w:sz w:val="32"/>
          <w:szCs w:val="32"/>
          <w:lang w:val="en-US" w:eastAsia="zh-CN"/>
        </w:rPr>
        <w:t>内容包括但不限于</w:t>
      </w:r>
      <w:r>
        <w:rPr>
          <w:rFonts w:hint="eastAsia" w:ascii="仿宋_GB2312" w:eastAsia="仿宋_GB2312"/>
          <w:b w:val="0"/>
          <w:bCs w:val="0"/>
          <w:sz w:val="32"/>
          <w:szCs w:val="32"/>
        </w:rPr>
        <w:t>质量、创新、品牌、效益和社会责任五个方面。</w:t>
      </w:r>
    </w:p>
    <w:p w14:paraId="170345B9">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第一，质量是组织或区域品牌生命力的基石，它直接关系到产品或服务是否能够满足顾客的需求和期望。高质量的产品或服务不仅能够提升顾客满意度，还能增强品牌信誉，从而为组织带来长期的市场竞争力。此外，质量管理体系的有效实施可以帮助组织优化内部流程，提高工作效率，降低成本，实现持续改进。</w:t>
      </w:r>
    </w:p>
    <w:p w14:paraId="73967D4E">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第二，创新是组织或区域品牌发展的动力源泉，它能够推动组织不断适应市场变化，满足甚至超越顾客的期望。通过技术创新、管理创新或服务创新，组织可以开拓新的市场领域，创造新的价值，增强差异化竞争优势，从而在激烈的市场竞争中立于不败之地。</w:t>
      </w:r>
    </w:p>
    <w:p w14:paraId="6F5214E4">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第三，品牌是组织或区域品牌的无形资产，它代表了组织的形象、声誉和价值。一个强大的品牌不仅能够吸引和保持顾客，还能提高顾客的忠诚度，为组织带来稳定的收入和利润。同时，品牌建设也是组织文化和价值观的体现，能够凝聚员工向心力，提升组织整体的战斗力。</w:t>
      </w:r>
    </w:p>
    <w:p w14:paraId="3AF85CE6">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第四，效益是衡量组织或区域品牌经营成果的重要指标，它反映了组织的盈利能力和资源利用效率。追求效益最大化是组织经营的根本目标，也是实现可持续发展的重要保障。良好的效益表现不仅能够为组织提供充足的资金支持，用于扩大生产规模、进行技术研发或市场拓展，还能增强投资者和债权人的信心，为组织创造更加有利的融资环境。</w:t>
      </w:r>
    </w:p>
    <w:p w14:paraId="6510B6F3">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第五，社会责任体现了组织或区域品牌对社会、环境和利益相关者的关注和承诺。在当今社会，随着公众环保意识和道德标准的不断提高，越来越多的消费者倾向于选择那些具有社会责任感的组织。因此，积极履行社会责任不仅能够提升组织的社会形象，还能增强品牌影响力，为组织赢得更多的市场机会。同时，社会责任的履行也有助于组织与政府、社区等建立良好的关系，为组织的长远发展营造和谐的外部环境。</w:t>
      </w:r>
    </w:p>
    <w:p w14:paraId="4D47687C">
      <w:pPr>
        <w:pageBreakBefore w:val="0"/>
        <w:widowControl w:val="0"/>
        <w:numPr>
          <w:ilvl w:val="0"/>
          <w:numId w:val="0"/>
        </w:numPr>
        <w:kinsoku/>
        <w:wordWrap/>
        <w:overflowPunct/>
        <w:topLinePunct w:val="0"/>
        <w:autoSpaceDE/>
        <w:autoSpaceDN/>
        <w:bidi w:val="0"/>
        <w:adjustRightInd/>
        <w:snapToGrid/>
        <w:jc w:val="left"/>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（七）</w:t>
      </w:r>
      <w:r>
        <w:rPr>
          <w:rFonts w:hint="eastAsia" w:ascii="楷体" w:hAnsi="楷体" w:eastAsia="楷体" w:cs="楷体"/>
          <w:b w:val="0"/>
          <w:bCs w:val="0"/>
          <w:sz w:val="32"/>
          <w:szCs w:val="32"/>
        </w:rPr>
        <w:t>评价方法</w:t>
      </w:r>
    </w:p>
    <w:p w14:paraId="47803F94">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本文件采用打分法对区域品牌或组织及其产品</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服务</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进行评价。</w:t>
      </w:r>
    </w:p>
    <w:p w14:paraId="1E13E523">
      <w:pPr>
        <w:pStyle w:val="2"/>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b w:val="0"/>
          <w:bCs w:val="0"/>
          <w:sz w:val="32"/>
          <w:szCs w:val="32"/>
        </w:rPr>
      </w:pPr>
      <w:bookmarkStart w:id="3" w:name="_Toc173598541"/>
      <w:r>
        <w:rPr>
          <w:rFonts w:hint="eastAsia" w:ascii="黑体" w:hAnsi="黑体" w:eastAsia="黑体"/>
          <w:b w:val="0"/>
          <w:bCs w:val="0"/>
          <w:sz w:val="32"/>
          <w:szCs w:val="32"/>
          <w:lang w:val="en-US" w:eastAsia="zh-CN"/>
        </w:rPr>
        <w:t>五</w:t>
      </w:r>
      <w:r>
        <w:rPr>
          <w:rFonts w:hint="eastAsia" w:ascii="黑体" w:hAnsi="黑体" w:eastAsia="黑体"/>
          <w:b w:val="0"/>
          <w:bCs w:val="0"/>
          <w:sz w:val="32"/>
          <w:szCs w:val="32"/>
        </w:rPr>
        <w:t>、重大意见分歧的处理</w:t>
      </w:r>
      <w:bookmarkEnd w:id="3"/>
    </w:p>
    <w:p w14:paraId="7C4A376B">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本标准制定过程中未出现重大意见分歧。</w:t>
      </w:r>
    </w:p>
    <w:p w14:paraId="463CFD8E">
      <w:pPr>
        <w:pStyle w:val="2"/>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b w:val="0"/>
          <w:bCs w:val="0"/>
          <w:sz w:val="32"/>
          <w:szCs w:val="32"/>
        </w:rPr>
      </w:pPr>
      <w:bookmarkStart w:id="4" w:name="_Toc173598542"/>
      <w:r>
        <w:rPr>
          <w:rFonts w:hint="eastAsia" w:ascii="黑体" w:hAnsi="黑体" w:eastAsia="黑体"/>
          <w:b w:val="0"/>
          <w:bCs w:val="0"/>
          <w:sz w:val="32"/>
          <w:szCs w:val="32"/>
          <w:lang w:val="en-US" w:eastAsia="zh-CN"/>
        </w:rPr>
        <w:t>六</w:t>
      </w:r>
      <w:r>
        <w:rPr>
          <w:rFonts w:hint="eastAsia" w:ascii="黑体" w:hAnsi="黑体" w:eastAsia="黑体"/>
          <w:b w:val="0"/>
          <w:bCs w:val="0"/>
          <w:sz w:val="32"/>
          <w:szCs w:val="32"/>
        </w:rPr>
        <w:t>、与国家法律法规和强制性标准的关系</w:t>
      </w:r>
      <w:bookmarkEnd w:id="4"/>
    </w:p>
    <w:p w14:paraId="3002D19B">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本标准的制定符合国家的法律，法规与现行的法律，法规及安全技术规范和行业标准没有冲突。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0NDdkMmYwOWQ3MWU0NzI4YjAwMGRiNDA3OGFmZDAifQ=="/>
  </w:docVars>
  <w:rsids>
    <w:rsidRoot w:val="00AA28F3"/>
    <w:rsid w:val="004709B1"/>
    <w:rsid w:val="00874C8A"/>
    <w:rsid w:val="00AA28F3"/>
    <w:rsid w:val="00AE188C"/>
    <w:rsid w:val="03055FDC"/>
    <w:rsid w:val="0AF972EB"/>
    <w:rsid w:val="0CB43C31"/>
    <w:rsid w:val="0D1C22AB"/>
    <w:rsid w:val="126A1994"/>
    <w:rsid w:val="15D00040"/>
    <w:rsid w:val="15E15C75"/>
    <w:rsid w:val="1A6E3163"/>
    <w:rsid w:val="1B445935"/>
    <w:rsid w:val="25CB04B9"/>
    <w:rsid w:val="27457B31"/>
    <w:rsid w:val="2B4F3741"/>
    <w:rsid w:val="2FDC392C"/>
    <w:rsid w:val="30911F89"/>
    <w:rsid w:val="31554863"/>
    <w:rsid w:val="367E2AAD"/>
    <w:rsid w:val="381E2D6D"/>
    <w:rsid w:val="3B73533B"/>
    <w:rsid w:val="3BA269FD"/>
    <w:rsid w:val="4591444B"/>
    <w:rsid w:val="49F01F51"/>
    <w:rsid w:val="4D6F1F3B"/>
    <w:rsid w:val="52064BE2"/>
    <w:rsid w:val="57124858"/>
    <w:rsid w:val="58AE6E64"/>
    <w:rsid w:val="5B1A0D57"/>
    <w:rsid w:val="60CC2038"/>
    <w:rsid w:val="62724E61"/>
    <w:rsid w:val="628D14AD"/>
    <w:rsid w:val="65F755BB"/>
    <w:rsid w:val="6A2A530E"/>
    <w:rsid w:val="711B10CD"/>
    <w:rsid w:val="71211E57"/>
    <w:rsid w:val="740B673A"/>
    <w:rsid w:val="743C7F4E"/>
    <w:rsid w:val="74F61AF8"/>
    <w:rsid w:val="774150D6"/>
    <w:rsid w:val="7A3707CF"/>
    <w:rsid w:val="7FF93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center"/>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rPr>
  </w:style>
  <w:style w:type="paragraph" w:styleId="5">
    <w:name w:val="toc 1"/>
    <w:basedOn w:val="1"/>
    <w:next w:val="1"/>
    <w:autoRedefine/>
    <w:qFormat/>
    <w:uiPriority w:val="39"/>
    <w:pPr>
      <w:tabs>
        <w:tab w:val="right" w:leader="dot" w:pos="8296"/>
      </w:tabs>
      <w:jc w:val="center"/>
    </w:pPr>
    <w:rPr>
      <w:rFonts w:ascii="仿宋_GB2312" w:eastAsia="仿宋_GB2312"/>
      <w:b/>
      <w:bCs/>
      <w:sz w:val="32"/>
      <w:szCs w:val="32"/>
    </w:rPr>
  </w:style>
  <w:style w:type="character" w:styleId="8">
    <w:name w:val="Hyperlink"/>
    <w:basedOn w:val="7"/>
    <w:unhideWhenUsed/>
    <w:uiPriority w:val="99"/>
    <w:rPr>
      <w:color w:val="0563C1" w:themeColor="hyperlink"/>
      <w:u w:val="single"/>
      <w14:textFill>
        <w14:solidFill>
          <w14:schemeClr w14:val="hlink"/>
        </w14:solidFill>
      </w14:textFill>
    </w:rPr>
  </w:style>
  <w:style w:type="character" w:customStyle="1" w:styleId="9">
    <w:name w:val="标题 1 字符"/>
    <w:basedOn w:val="7"/>
    <w:link w:val="2"/>
    <w:qFormat/>
    <w:uiPriority w:val="0"/>
    <w:rPr>
      <w:rFonts w:asciiTheme="minorHAnsi" w:hAnsiTheme="minorHAnsi" w:eastAsiaTheme="minorEastAsia" w:cstheme="minorBidi"/>
      <w:b/>
      <w:bCs/>
      <w:kern w:val="44"/>
      <w:sz w:val="44"/>
      <w:szCs w:val="44"/>
    </w:rPr>
  </w:style>
  <w:style w:type="paragraph" w:customStyle="1" w:styleId="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2335</Words>
  <Characters>2432</Characters>
  <Lines>21</Lines>
  <Paragraphs>6</Paragraphs>
  <TotalTime>0</TotalTime>
  <ScaleCrop>false</ScaleCrop>
  <LinksUpToDate>false</LinksUpToDate>
  <CharactersWithSpaces>2601</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2024-08-03T13:52:00Z</dcterms:created>
  <dc:creator>iPad</dc:creator>
  <cp:lastModifiedBy>杨钧元</cp:lastModifiedBy>
  <dcterms:modified xsi:type="dcterms:W3CDTF">2024-09-12T00:55:57Z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EBD548849BF0F5F8B0C5AD6664D4954C_31</vt:lpwstr>
  </property>
</Properties>
</file>